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ACESSIBILIDADE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nome completo do Engenheiro(a) Civil ou Arquiteto(a) Urbanista – CREA Nº número OU CAU Nº número</w:t>
      </w:r>
      <w:r w:rsidDel="00000000" w:rsidR="00000000" w:rsidRPr="00000000">
        <w:rPr>
          <w:sz w:val="24"/>
          <w:szCs w:val="24"/>
          <w:rtl w:val="0"/>
        </w:rPr>
        <w:t xml:space="preserve">, como autor do projeto referente à obra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Reforma XXXXXXXXXXXXXXXXXXXXXXXXX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que foram atendidas as exigências de acessibilidade às pessoas portadoras de deficiência ou com mobilidade reduzida nos projetos urbanísticos e arquitetônicos, conforme a NBR9050 da Associação Brasileira de Normas Técnicas - ABNT, nos termos da Lei Nº 14.789, de 1º de Outubro de 2012 e outras correlacionadas a questão.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Local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Dia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Mês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Ano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NOME DO ENGENHEIRO(A) OU ARQUITETO(A)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Engenheiro(a) Civil – CREA Nº número /OU/ Arquiteto(a) Urbanista – CAU Nº número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De acordo / ciente: NOME DO REPRESENTANTE LEGAL</w:t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Cargo do(a) Nome do Convenente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5" w:line="360" w:lineRule="auto"/>
        <w:jc w:val="both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do órgão emissor&gt;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